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Title"/>
      </w:pPr>
      <w:bookmarkStart w:name="_ufqljf92j7qt" w:id="0"/>
      <w:r>
        <w:rPr>
          <w:rStyle w:val="None A"/>
          <w:rtl w:val="0"/>
          <w:lang w:val="en-US"/>
        </w:rPr>
        <w:t>Физика</w:t>
      </w:r>
      <w:r>
        <w:rPr>
          <w:rStyle w:val="None A"/>
          <w:rtl w:val="0"/>
          <w:lang w:val="en-US"/>
        </w:rPr>
        <w:t>.</w:t>
      </w:r>
      <w:r>
        <w:rPr>
          <w:rStyle w:val="None A"/>
          <w:rtl w:val="0"/>
          <w:lang w:val="en-US"/>
        </w:rPr>
        <w:t>Магнетизм</w:t>
      </w:r>
      <w:bookmarkEnd w:id="0"/>
    </w:p>
    <w:p>
      <w:pPr>
        <w:pStyle w:val="Subtitle"/>
      </w:pPr>
      <w:bookmarkStart w:name="_djj8fasty2y" w:id="1"/>
      <w:r>
        <w:rPr>
          <w:rStyle w:val="None A"/>
          <w:rFonts w:cs="Arial Unicode MS" w:eastAsia="Arial Unicode MS" w:hint="default"/>
          <w:rtl w:val="0"/>
          <w:lang w:val="en-US"/>
        </w:rPr>
        <w:t>Краткая спецификация и техтребования</w:t>
      </w:r>
    </w:p>
    <w:p>
      <w:pPr>
        <w:pStyle w:val="Body A"/>
      </w:pPr>
    </w:p>
    <w:p>
      <w:pPr>
        <w:pStyle w:val="Body A"/>
        <w:tabs>
          <w:tab w:val="right" w:pos="9340"/>
        </w:tabs>
        <w:spacing w:before="8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Краткое описание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1</w:t>
      </w:r>
    </w:p>
    <w:p>
      <w:pPr>
        <w:pStyle w:val="Body A"/>
        <w:tabs>
          <w:tab w:val="right" w:pos="9340"/>
        </w:tabs>
        <w:spacing w:before="20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Ключевые возможности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2</w:t>
      </w:r>
    </w:p>
    <w:p>
      <w:pPr>
        <w:pStyle w:val="Body A"/>
        <w:tabs>
          <w:tab w:val="right" w:pos="9340"/>
        </w:tabs>
        <w:spacing w:before="20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Состав поставки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2</w:t>
      </w:r>
    </w:p>
    <w:p>
      <w:pPr>
        <w:pStyle w:val="Body A"/>
        <w:tabs>
          <w:tab w:val="right" w:pos="9340"/>
        </w:tabs>
        <w:spacing w:before="20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Технические требования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5</w:t>
      </w:r>
    </w:p>
    <w:p>
      <w:pPr>
        <w:pStyle w:val="Body A"/>
        <w:tabs>
          <w:tab w:val="right" w:pos="9340"/>
        </w:tabs>
        <w:spacing w:before="200" w:after="8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Контакты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5</w:t>
      </w:r>
    </w:p>
    <w:p>
      <w:pPr>
        <w:pStyle w:val="Body A"/>
      </w:pPr>
      <w:bookmarkEnd w:id="1"/>
    </w:p>
    <w:p>
      <w:pPr>
        <w:pStyle w:val="Heading"/>
      </w:pPr>
      <w:bookmarkStart w:name="_t98uex42x76k1" w:id="2"/>
      <w:r>
        <w:rPr>
          <w:rStyle w:val="None"/>
          <w:rFonts w:cs="Arial Unicode MS" w:eastAsia="Arial Unicode MS" w:hint="default"/>
          <w:rtl w:val="0"/>
          <w:lang w:val="ru-RU"/>
        </w:rPr>
        <w:t>Краткое описание</w:t>
      </w:r>
    </w:p>
    <w:p>
      <w:pPr>
        <w:pStyle w:val="Body A"/>
      </w:pPr>
      <w:r>
        <w:rPr>
          <w:rStyle w:val="None"/>
          <w:rtl w:val="0"/>
          <w:lang w:val="da-DK"/>
        </w:rPr>
        <w:t>VR-</w:t>
      </w:r>
      <w:r>
        <w:rPr>
          <w:rStyle w:val="None"/>
          <w:rtl w:val="0"/>
          <w:lang w:val="ru-RU"/>
        </w:rPr>
        <w:t xml:space="preserve">курс по физике “Магнетизм” – обучающий комплекс для подготовки учащихся </w:t>
      </w:r>
      <w:r>
        <w:rPr>
          <w:rStyle w:val="None A"/>
          <w:rtl w:val="0"/>
        </w:rPr>
        <w:t xml:space="preserve">8-9 </w:t>
      </w:r>
      <w:r>
        <w:rPr>
          <w:rStyle w:val="None"/>
          <w:rtl w:val="0"/>
          <w:lang w:val="ru-RU"/>
        </w:rPr>
        <w:t>классов по темам магнетизма и электромагнитной индукции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>Позволяет изучить явления в пространстве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понять связь видимых действий с невидимыми феноменами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>Благодаря системе микроуроков позволяет гибко организовывать учебный процесс при первичном изучении материала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повторении и подготовке к экзамену</w:t>
      </w:r>
      <w:r>
        <w:rPr>
          <w:rStyle w:val="None A"/>
          <w:rtl w:val="0"/>
        </w:rPr>
        <w:t xml:space="preserve">. </w:t>
      </w: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>Видеоролик</w:t>
      </w:r>
      <w:r>
        <w:rPr>
          <w:rStyle w:val="None A"/>
          <w:rtl w:val="0"/>
        </w:rPr>
        <w:t xml:space="preserve">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"https://youtu.be/GwkElcQDgSk"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https://youtu.be/GwkElcQDgSk</w:t>
      </w:r>
      <w:r>
        <w:rPr/>
        <w:fldChar w:fldCharType="end" w:fldLock="0"/>
      </w:r>
    </w:p>
    <w:p>
      <w:pPr>
        <w:pStyle w:val="Body A"/>
      </w:pPr>
    </w:p>
    <w:p>
      <w:pPr>
        <w:pStyle w:val="Body A"/>
      </w:pPr>
      <w:r>
        <w:rPr>
          <w:rStyle w:val="None"/>
          <w:rtl w:val="0"/>
          <w:lang w:val="ru-RU"/>
        </w:rPr>
        <w:t>Продукт успешно прошел экспертизу РАО и может быть рекомендован для использования в образовательных учреждениях как вспомогательный инструмент</w:t>
      </w:r>
      <w:r>
        <w:rPr>
          <w:rStyle w:val="None A"/>
          <w:rtl w:val="0"/>
        </w:rPr>
        <w:t>.</w:t>
      </w:r>
    </w:p>
    <w:p>
      <w:pPr>
        <w:pStyle w:val="Body A"/>
      </w:pPr>
    </w:p>
    <w:p>
      <w:pPr>
        <w:pStyle w:val="Body A"/>
      </w:pPr>
      <w:r>
        <w:rPr>
          <w:rStyle w:val="None"/>
          <w:rtl w:val="0"/>
          <w:lang w:val="ru-RU"/>
        </w:rPr>
        <w:t>В курсе представлены три типа микроуроков</w:t>
      </w:r>
      <w:r>
        <w:rPr>
          <w:rStyle w:val="None A"/>
          <w:rtl w:val="0"/>
        </w:rPr>
        <w:t>: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теория – изучение материала с трёхмерными визуализациями</w:t>
      </w:r>
      <w:r>
        <w:rPr>
          <w:rStyle w:val="None A"/>
          <w:rtl w:val="0"/>
        </w:rPr>
        <w:t>;</w:t>
      </w:r>
    </w:p>
    <w:p>
      <w:pPr>
        <w:pStyle w:val="Body A"/>
        <w:numPr>
          <w:ilvl w:val="0"/>
          <w:numId w:val="2"/>
        </w:numPr>
      </w:pPr>
      <w:r>
        <w:rPr>
          <w:rStyle w:val="None A"/>
          <w:rtl w:val="0"/>
        </w:rPr>
        <w:t>практика – решение заданий с подсказками</w:t>
      </w:r>
      <w:r>
        <w:rPr>
          <w:rStyle w:val="None A"/>
          <w:rtl w:val="0"/>
        </w:rPr>
        <w:t>;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тренировка – решение заданий без подсказок</w:t>
      </w:r>
      <w:r>
        <w:rPr>
          <w:rStyle w:val="None A"/>
          <w:rtl w:val="0"/>
        </w:rPr>
        <w:t>.</w:t>
      </w:r>
    </w:p>
    <w:p>
      <w:pPr>
        <w:pStyle w:val="Body A"/>
      </w:pPr>
    </w:p>
    <w:p>
      <w:pPr>
        <w:pStyle w:val="Heading"/>
      </w:pPr>
      <w:r>
        <w:rPr>
          <w:rStyle w:val="None"/>
          <w:rFonts w:cs="Arial Unicode MS" w:eastAsia="Arial Unicode MS" w:hint="default"/>
          <w:rtl w:val="0"/>
          <w:lang w:val="ru-RU"/>
        </w:rPr>
        <w:t>Ключевые возможности</w:t>
      </w:r>
    </w:p>
    <w:p>
      <w:pPr>
        <w:pStyle w:val="Body A"/>
      </w:pPr>
      <w:r>
        <w:rPr>
          <w:rStyle w:val="None"/>
          <w:rtl w:val="0"/>
          <w:lang w:val="ru-RU"/>
        </w:rPr>
        <w:t>Для учащегося</w:t>
      </w:r>
      <w:r>
        <w:rPr>
          <w:rStyle w:val="None A"/>
          <w:rtl w:val="0"/>
        </w:rPr>
        <w:t>: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Наглядное объяснение физических явлений</w:t>
      </w:r>
      <w:r>
        <w:rPr>
          <w:rStyle w:val="None A"/>
          <w:rtl w:val="0"/>
        </w:rPr>
        <w:t>;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Динамичное повествование – виртуальный рассказчик приводит примеры и уменьшает пользователя в отдельные моменты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чтобы поддерживать интерес</w:t>
      </w:r>
      <w:r>
        <w:rPr>
          <w:rStyle w:val="None A"/>
          <w:rtl w:val="0"/>
        </w:rPr>
        <w:t>;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Интерактивные задачи – позволяют изучить необходимый материал в увлекательном формате</w:t>
      </w:r>
      <w:r>
        <w:rPr>
          <w:rStyle w:val="None A"/>
          <w:rtl w:val="0"/>
        </w:rPr>
        <w:t>.</w:t>
      </w:r>
    </w:p>
    <w:p>
      <w:pPr>
        <w:pStyle w:val="Body A"/>
      </w:pPr>
    </w:p>
    <w:p>
      <w:pPr>
        <w:pStyle w:val="Body A"/>
      </w:pPr>
      <w:r>
        <w:rPr>
          <w:rStyle w:val="None"/>
          <w:rtl w:val="0"/>
          <w:lang w:val="ru-RU"/>
        </w:rPr>
        <w:t>Для учителей</w:t>
      </w:r>
      <w:r>
        <w:rPr>
          <w:rStyle w:val="None A"/>
          <w:rtl w:val="0"/>
        </w:rPr>
        <w:t>:</w:t>
      </w:r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Безопасная работа с электричеством</w:t>
      </w:r>
      <w:r>
        <w:rPr>
          <w:rStyle w:val="None A"/>
          <w:rtl w:val="0"/>
        </w:rPr>
        <w:t>;</w:t>
      </w:r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Наличие практических заданий ориентированных на подготовку к экзамену</w:t>
      </w:r>
      <w:r>
        <w:rPr>
          <w:rStyle w:val="None A"/>
          <w:rtl w:val="0"/>
        </w:rPr>
        <w:t>;</w:t>
      </w:r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Микроуроки гибко встраиваются в различные методики и этапы проведения занятий</w:t>
      </w:r>
      <w:r>
        <w:rPr>
          <w:rStyle w:val="None A"/>
          <w:rtl w:val="0"/>
        </w:rPr>
        <w:t>;</w:t>
      </w:r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Визуализация опытов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которые сложно показать в школьном кабинете</w:t>
      </w:r>
      <w:r>
        <w:rPr>
          <w:rStyle w:val="None A"/>
          <w:rtl w:val="0"/>
        </w:rPr>
        <w:t>;</w:t>
      </w:r>
      <w:bookmarkEnd w:id="2"/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tl w:val="0"/>
        </w:rPr>
      </w:pPr>
      <w:bookmarkStart w:name="_rqwt3md6z6v2" w:id="3"/>
      <w:r>
        <w:rPr>
          <w:rStyle w:val="None"/>
          <w:rtl w:val="0"/>
          <w:lang w:val="ru-RU"/>
        </w:rPr>
        <w:t xml:space="preserve">Доступность использования для детей на домашнем обучении благодаря простоте и мобильности автономных </w:t>
      </w:r>
      <w:r>
        <w:rPr>
          <w:rStyle w:val="None"/>
          <w:rtl w:val="0"/>
          <w:lang w:val="da-DK"/>
        </w:rPr>
        <w:t>VR-</w:t>
      </w:r>
      <w:r>
        <w:rPr>
          <w:rStyle w:val="None"/>
          <w:rtl w:val="0"/>
          <w:lang w:val="ru-RU"/>
        </w:rPr>
        <w:t>шлемов</w:t>
      </w:r>
      <w:r>
        <w:rPr>
          <w:rStyle w:val="None"/>
          <w:rtl w:val="0"/>
          <w:lang w:val="en-US"/>
        </w:rPr>
        <w:t>.</w:t>
      </w:r>
      <w:bookmarkEnd w:id="3"/>
      <w:bookmarkStart w:name="_rqwt3md6z6v1" w:id="4"/>
    </w:p>
    <w:p>
      <w:pPr>
        <w:pStyle w:val="Body A"/>
      </w:pPr>
      <w:bookmarkEnd w:id="4"/>
    </w:p>
    <w:p>
      <w:pPr>
        <w:pStyle w:val="Heading"/>
      </w:pPr>
      <w:bookmarkStart w:name="_t5l7n0sdowyf1" w:id="5"/>
      <w:r>
        <w:rPr>
          <w:rStyle w:val="None"/>
          <w:rFonts w:cs="Arial Unicode MS" w:eastAsia="Arial Unicode MS" w:hint="default"/>
          <w:rtl w:val="0"/>
          <w:lang w:val="ru-RU"/>
        </w:rPr>
        <w:t>Состав поставки</w:t>
      </w:r>
    </w:p>
    <w:p>
      <w:pPr>
        <w:pStyle w:val="Body A"/>
      </w:pPr>
      <w:r>
        <w:rPr>
          <w:rStyle w:val="None"/>
          <w:rtl w:val="0"/>
          <w:lang w:val="ru-RU"/>
        </w:rPr>
        <w:t>Обучающий комплекс включает в себя уроки по всем основным разделам по теме “Магнетизм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>Электромагнитная индукция” в основном общем образовании</w:t>
      </w:r>
      <w:r>
        <w:rPr>
          <w:rStyle w:val="None A"/>
          <w:rtl w:val="0"/>
        </w:rPr>
        <w:t>.</w:t>
      </w:r>
    </w:p>
    <w:p>
      <w:pPr>
        <w:pStyle w:val="Body A"/>
      </w:pPr>
    </w:p>
    <w:p>
      <w:pPr>
        <w:pStyle w:val="Body A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ru-RU"/>
        </w:rPr>
        <w:t>Теория</w:t>
      </w:r>
    </w:p>
    <w:p>
      <w:pPr>
        <w:pStyle w:val="Body A"/>
        <w:numPr>
          <w:ilvl w:val="0"/>
          <w:numId w:val="8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Постоянные магниты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опыт Ампера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опыт Эрстеда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8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Правило правой руки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 xml:space="preserve">правило правой руки для катушки </w:t>
      </w:r>
      <w:r>
        <w:rPr>
          <w:rStyle w:val="None A"/>
          <w:rtl w:val="0"/>
        </w:rPr>
        <w:t>(</w:t>
      </w:r>
      <w:r>
        <w:rPr>
          <w:rStyle w:val="None"/>
          <w:rtl w:val="0"/>
          <w:lang w:val="ru-RU"/>
        </w:rPr>
        <w:t>соленоида</w:t>
      </w:r>
      <w:r>
        <w:rPr>
          <w:rStyle w:val="None A"/>
          <w:rtl w:val="0"/>
        </w:rPr>
        <w:t>).</w:t>
      </w:r>
    </w:p>
    <w:p>
      <w:pPr>
        <w:pStyle w:val="Body A"/>
        <w:numPr>
          <w:ilvl w:val="0"/>
          <w:numId w:val="8"/>
        </w:numPr>
        <w:jc w:val="both"/>
      </w:pPr>
      <w:r>
        <w:rPr>
          <w:rStyle w:val="None A"/>
          <w:rtl w:val="0"/>
        </w:rPr>
        <w:t>Сила Ампера</w:t>
      </w:r>
      <w:r>
        <w:rPr>
          <w:rStyle w:val="None A"/>
          <w:rtl w:val="0"/>
        </w:rPr>
        <w:t xml:space="preserve">, </w:t>
      </w:r>
      <w:r>
        <w:rPr>
          <w:rStyle w:val="None A"/>
          <w:rtl w:val="0"/>
        </w:rPr>
        <w:t>правило левой руки и сила Лоренца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8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Опыт Фарадея</w:t>
      </w:r>
      <w:r>
        <w:rPr>
          <w:rStyle w:val="None A"/>
          <w:rtl w:val="0"/>
        </w:rPr>
        <w:t xml:space="preserve">, </w:t>
      </w:r>
      <w:r>
        <w:rPr>
          <w:rStyle w:val="None A"/>
          <w:rtl w:val="0"/>
        </w:rPr>
        <w:t>правило Ленца</w:t>
      </w:r>
      <w:r>
        <w:rPr>
          <w:rStyle w:val="None A"/>
          <w:rtl w:val="0"/>
        </w:rPr>
        <w:t>.</w:t>
      </w:r>
    </w:p>
    <w:p>
      <w:pPr>
        <w:pStyle w:val="Body A"/>
        <w:jc w:val="both"/>
        <w:rPr>
          <w:rStyle w:val="None"/>
          <w:b w:val="1"/>
          <w:bCs w:val="1"/>
        </w:rPr>
      </w:pPr>
    </w:p>
    <w:p>
      <w:pPr>
        <w:pStyle w:val="Body A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</w:rPr>
        <w:t>Практика</w:t>
      </w:r>
    </w:p>
    <w:p>
      <w:pPr>
        <w:pStyle w:val="Body A"/>
        <w:numPr>
          <w:ilvl w:val="0"/>
          <w:numId w:val="10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Правило правой руки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10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Опыт Эрстеда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10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Правило левой руки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10"/>
        </w:numPr>
        <w:jc w:val="both"/>
      </w:pPr>
      <w:r>
        <w:rPr>
          <w:rStyle w:val="None A"/>
          <w:rtl w:val="0"/>
        </w:rPr>
        <w:t>Сила Лоренца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10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Опыт Фарадей</w:t>
      </w:r>
      <w:r>
        <w:rPr>
          <w:rStyle w:val="None A"/>
          <w:rtl w:val="0"/>
        </w:rPr>
        <w:t>.</w:t>
      </w:r>
    </w:p>
    <w:p>
      <w:pPr>
        <w:pStyle w:val="Body A"/>
        <w:jc w:val="both"/>
        <w:rPr>
          <w:rStyle w:val="None"/>
          <w:b w:val="1"/>
          <w:bCs w:val="1"/>
        </w:rPr>
      </w:pPr>
    </w:p>
    <w:p>
      <w:pPr>
        <w:pStyle w:val="Body A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</w:rPr>
        <w:t>Тренировка</w:t>
      </w:r>
    </w:p>
    <w:p>
      <w:pPr>
        <w:pStyle w:val="Body A"/>
        <w:numPr>
          <w:ilvl w:val="0"/>
          <w:numId w:val="12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Правило правой руки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12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Опыт Эрстеда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12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Правило левой руки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12"/>
        </w:numPr>
        <w:jc w:val="both"/>
      </w:pPr>
      <w:r>
        <w:rPr>
          <w:rStyle w:val="None A"/>
          <w:rtl w:val="0"/>
        </w:rPr>
        <w:t>Сила Лоренца</w:t>
      </w:r>
      <w:r>
        <w:rPr>
          <w:rStyle w:val="None A"/>
          <w:rtl w:val="0"/>
        </w:rPr>
        <w:t>.</w:t>
      </w:r>
    </w:p>
    <w:p>
      <w:pPr>
        <w:pStyle w:val="Body A"/>
        <w:numPr>
          <w:ilvl w:val="0"/>
          <w:numId w:val="12"/>
        </w:numPr>
        <w:bidi w:val="0"/>
        <w:ind w:right="0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Опыт Фарадей</w:t>
      </w:r>
      <w:r>
        <w:rPr>
          <w:rStyle w:val="None A"/>
          <w:rtl w:val="0"/>
        </w:rPr>
        <w:t>.</w:t>
      </w:r>
    </w:p>
    <w:p>
      <w:pPr>
        <w:pStyle w:val="Body A"/>
        <w:jc w:val="both"/>
      </w:pPr>
    </w:p>
    <w:p>
      <w:pPr>
        <w:pStyle w:val="Body A"/>
      </w:pPr>
      <w:r>
        <w:rPr>
          <w:rStyle w:val="None A"/>
        </w:rPr>
        <w:drawing xmlns:a="http://schemas.openxmlformats.org/drawingml/2006/main">
          <wp:inline distT="0" distB="0" distL="0" distR="0">
            <wp:extent cx="5943600" cy="2971800"/>
            <wp:effectExtent l="0" t="0" r="0" b="0"/>
            <wp:docPr id="1073741827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</w:pPr>
      <w:r>
        <w:rPr>
          <w:rStyle w:val="None"/>
          <w:rtl w:val="0"/>
          <w:lang w:val="ru-RU"/>
        </w:rPr>
        <w:t>Визуальный стиль виртуальной лаборатории и элементов окружения</w:t>
      </w:r>
    </w:p>
    <w:p>
      <w:pPr>
        <w:pStyle w:val="Body A"/>
      </w:pPr>
    </w:p>
    <w:p>
      <w:pPr>
        <w:pStyle w:val="Body A"/>
      </w:pPr>
      <w:r>
        <w:rPr>
          <w:rStyle w:val="None A"/>
        </w:rPr>
        <w:drawing xmlns:a="http://schemas.openxmlformats.org/drawingml/2006/main">
          <wp:inline distT="0" distB="0" distL="0" distR="0">
            <wp:extent cx="5943600" cy="2971800"/>
            <wp:effectExtent l="0" t="0" r="0" b="0"/>
            <wp:docPr id="1073741828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</w:pPr>
      <w:r>
        <w:rPr>
          <w:rStyle w:val="None A"/>
          <w:rtl w:val="0"/>
        </w:rPr>
        <w:t>Анимация демонстрации правила левой руки</w:t>
      </w:r>
    </w:p>
    <w:p>
      <w:pPr>
        <w:pStyle w:val="Body A"/>
      </w:pPr>
    </w:p>
    <w:p>
      <w:pPr>
        <w:pStyle w:val="Body A"/>
      </w:pPr>
      <w:r>
        <w:rPr>
          <w:rStyle w:val="None A"/>
        </w:rPr>
        <w:drawing xmlns:a="http://schemas.openxmlformats.org/drawingml/2006/main">
          <wp:inline distT="0" distB="0" distL="0" distR="0">
            <wp:extent cx="2881316" cy="1426580"/>
            <wp:effectExtent l="0" t="0" r="0" b="0"/>
            <wp:docPr id="1073741829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16" cy="1426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 A"/>
        </w:rPr>
        <w:drawing xmlns:a="http://schemas.openxmlformats.org/drawingml/2006/main">
          <wp:inline distT="0" distB="0" distL="0" distR="0">
            <wp:extent cx="2909891" cy="1432967"/>
            <wp:effectExtent l="0" t="0" r="0" b="0"/>
            <wp:docPr id="1073741830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891" cy="1432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</w:pPr>
      <w:r>
        <w:rPr>
          <w:rStyle w:val="None"/>
          <w:rtl w:val="0"/>
          <w:lang w:val="ru-RU"/>
        </w:rPr>
        <w:t>Изменение масштаба окружения для более наглядной демонстрации действия магнитного поля в блоке теории</w:t>
      </w:r>
    </w:p>
    <w:p>
      <w:pPr>
        <w:pStyle w:val="Body A"/>
      </w:pPr>
      <w:r>
        <w:rPr>
          <w:rStyle w:val="None A"/>
        </w:rPr>
        <w:drawing xmlns:a="http://schemas.openxmlformats.org/drawingml/2006/main">
          <wp:inline distT="0" distB="0" distL="0" distR="0">
            <wp:extent cx="2900366" cy="2900366"/>
            <wp:effectExtent l="0" t="0" r="0" b="0"/>
            <wp:docPr id="1073741831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66" cy="2900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 A"/>
        </w:rPr>
        <w:drawing xmlns:a="http://schemas.openxmlformats.org/drawingml/2006/main">
          <wp:inline distT="0" distB="0" distL="0" distR="0">
            <wp:extent cx="2900366" cy="2900366"/>
            <wp:effectExtent l="0" t="0" r="0" b="0"/>
            <wp:docPr id="1073741832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66" cy="2900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</w:pPr>
      <w:r>
        <w:rPr>
          <w:rStyle w:val="None"/>
          <w:rtl w:val="0"/>
          <w:lang w:val="ru-RU"/>
        </w:rPr>
        <w:t xml:space="preserve">Описание задачи в блоке практики и выбор с помощью контроллера интерактивных элементов для установки в цепи </w:t>
      </w:r>
      <w:r>
        <w:rPr>
          <w:rStyle w:val="None A"/>
          <w:rtl w:val="0"/>
        </w:rPr>
        <w:t>(</w:t>
      </w:r>
      <w:r>
        <w:rPr>
          <w:rStyle w:val="None A"/>
          <w:rtl w:val="0"/>
        </w:rPr>
        <w:t>блок практики</w:t>
      </w:r>
      <w:r>
        <w:rPr>
          <w:rStyle w:val="None A"/>
          <w:rtl w:val="0"/>
        </w:rPr>
        <w:t>)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Heading"/>
      </w:pPr>
      <w:r>
        <w:rPr>
          <w:rStyle w:val="None"/>
          <w:rFonts w:cs="Arial Unicode MS" w:eastAsia="Arial Unicode MS" w:hint="default"/>
          <w:rtl w:val="0"/>
          <w:lang w:val="ru-RU"/>
        </w:rPr>
        <w:t>Технические требования</w:t>
      </w:r>
      <w:bookmarkEnd w:id="5"/>
    </w:p>
    <w:p>
      <w:pPr>
        <w:pStyle w:val="Body A"/>
        <w:numPr>
          <w:ilvl w:val="0"/>
          <w:numId w:val="14"/>
        </w:numPr>
        <w:bidi w:val="0"/>
        <w:ind w:right="0"/>
        <w:jc w:val="left"/>
        <w:rPr>
          <w:rtl w:val="0"/>
        </w:rPr>
      </w:pPr>
      <w:bookmarkStart w:name="_ooac5ng9upst2" w:id="6"/>
      <w:r>
        <w:rPr>
          <w:rStyle w:val="None"/>
          <w:rtl w:val="0"/>
          <w:lang w:val="ru-RU"/>
        </w:rPr>
        <w:t>Поддержка мобильных шлемов виртуальной реальности</w:t>
      </w:r>
      <w:r>
        <w:rPr>
          <w:rStyle w:val="None"/>
          <w:rtl w:val="0"/>
          <w:lang w:val="ru-RU"/>
        </w:rPr>
        <w:t>:</w:t>
      </w:r>
    </w:p>
    <w:p>
      <w:pPr>
        <w:pStyle w:val="Body A"/>
        <w:numPr>
          <w:ilvl w:val="1"/>
          <w:numId w:val="14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Vive (Focus, Focus Plus, Focus 3);</w:t>
      </w:r>
    </w:p>
    <w:p>
      <w:pPr>
        <w:pStyle w:val="Body A"/>
        <w:numPr>
          <w:ilvl w:val="1"/>
          <w:numId w:val="14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Pico (G2 4k, Neo 2, Neo 3</w:t>
      </w:r>
      <w:r>
        <w:rPr>
          <w:rStyle w:val="None"/>
          <w:rtl w:val="0"/>
          <w:lang w:val="ru-RU"/>
        </w:rPr>
        <w:t xml:space="preserve">, </w:t>
      </w:r>
      <w:r>
        <w:rPr>
          <w:rStyle w:val="None"/>
          <w:rtl w:val="0"/>
          <w:lang w:val="en-US"/>
        </w:rPr>
        <w:t>Pico 4</w:t>
      </w:r>
      <w:r>
        <w:rPr>
          <w:rStyle w:val="None"/>
          <w:rtl w:val="0"/>
          <w:lang w:val="ru-RU"/>
        </w:rPr>
        <w:t>).</w:t>
      </w:r>
    </w:p>
    <w:p>
      <w:pPr>
        <w:pStyle w:val="Body A"/>
        <w:numPr>
          <w:ilvl w:val="0"/>
          <w:numId w:val="14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Поддержка стационарных шлемов виртуальной реальности</w:t>
      </w:r>
      <w:r>
        <w:rPr>
          <w:rStyle w:val="None"/>
          <w:rtl w:val="0"/>
          <w:lang w:val="ru-RU"/>
        </w:rPr>
        <w:t>:</w:t>
      </w:r>
    </w:p>
    <w:p>
      <w:pPr>
        <w:pStyle w:val="Body A"/>
        <w:numPr>
          <w:ilvl w:val="1"/>
          <w:numId w:val="14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HTC Vive (Vive, Vive Pro, Vive Pro Eye, Cosmos).</w:t>
      </w:r>
    </w:p>
    <w:p>
      <w:pPr>
        <w:pStyle w:val="Body A"/>
        <w:numPr>
          <w:ilvl w:val="0"/>
          <w:numId w:val="14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Возможна адаптация для других моделей</w:t>
      </w:r>
    </w:p>
    <w:p>
      <w:pPr>
        <w:pStyle w:val="Body A"/>
      </w:pPr>
    </w:p>
    <w:p>
      <w:pPr>
        <w:pStyle w:val="Body A"/>
        <w:numPr>
          <w:ilvl w:val="0"/>
          <w:numId w:val="16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Для активации приложения требуется доступ в интернет</w:t>
      </w:r>
      <w:r>
        <w:rPr>
          <w:rStyle w:val="None A"/>
          <w:rtl w:val="0"/>
        </w:rPr>
        <w:t>.</w:t>
      </w:r>
      <w:bookmarkEnd w:id="6"/>
      <w:bookmarkStart w:name="_ooac5ng9upst1" w:id="7"/>
    </w:p>
    <w:p>
      <w:pPr>
        <w:pStyle w:val="Body A"/>
      </w:pPr>
      <w:bookmarkEnd w:id="7"/>
    </w:p>
    <w:p>
      <w:pPr>
        <w:pStyle w:val="Heading"/>
      </w:pPr>
      <w:bookmarkStart w:name="_ees0psgpf0mc1" w:id="8"/>
      <w:r>
        <w:rPr>
          <w:rStyle w:val="None"/>
          <w:rFonts w:cs="Arial Unicode MS" w:eastAsia="Arial Unicode MS" w:hint="default"/>
          <w:rtl w:val="0"/>
          <w:lang w:val="ru-RU"/>
        </w:rPr>
        <w:t>Контакты</w:t>
      </w:r>
    </w:p>
    <w:p>
      <w:pPr>
        <w:pStyle w:val="Body A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"https://modumlab.com/education"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https://modumlab.com/education</w:t>
      </w:r>
      <w:r>
        <w:rPr/>
        <w:fldChar w:fldCharType="end" w:fldLock="0"/>
      </w:r>
    </w:p>
    <w:p>
      <w:pPr>
        <w:pStyle w:val="Body A"/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"mailto:edu@modumlab.com"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edu@modumlab.com</w:t>
      </w:r>
      <w:r>
        <w:rPr/>
        <w:fldChar w:fldCharType="end" w:fldLock="0"/>
      </w:r>
    </w:p>
    <w:p>
      <w:pPr>
        <w:pStyle w:val="Body A"/>
      </w:pPr>
      <w:r>
        <w:rPr>
          <w:rStyle w:val="None A"/>
          <w:rtl w:val="0"/>
        </w:rPr>
        <w:t>+7 812 317-70-85</w:t>
      </w:r>
      <w:bookmarkEnd w:id="8"/>
    </w:p>
    <w:sectPr>
      <w:headerReference w:type="default" r:id="rId10"/>
      <w:footerReference w:type="default" r:id="rId11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A"/>
    </w:pPr>
    <w:r>
      <w:rPr>
        <w:rStyle w:val="None A"/>
      </w:rPr>
      <w:drawing xmlns:a="http://schemas.openxmlformats.org/drawingml/2006/main">
        <wp:inline distT="0" distB="0" distL="0" distR="0">
          <wp:extent cx="5943600" cy="771527"/>
          <wp:effectExtent l="0" t="0" r="0" b="0"/>
          <wp:docPr id="1073741826" name="officeArt object" descr="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Изображение" descr="Изображение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20399" r="0" b="20403"/>
                  <a:stretch>
                    <a:fillRect/>
                  </a:stretch>
                </pic:blipFill>
                <pic:spPr>
                  <a:xfrm>
                    <a:off x="0" y="0"/>
                    <a:ext cx="5943600" cy="77152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A"/>
      <w:spacing w:line="240" w:lineRule="auto"/>
    </w:pPr>
    <w:r>
      <w:rPr>
        <w:rStyle w:val="None A"/>
      </w:rPr>
      <w:drawing xmlns:a="http://schemas.openxmlformats.org/drawingml/2006/main">
        <wp:inline distT="0" distB="0" distL="0" distR="0">
          <wp:extent cx="5943600" cy="1300061"/>
          <wp:effectExtent l="0" t="0" r="0" b="0"/>
          <wp:docPr id="1073741825" name="officeArt object" descr="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Изображение" descr="Изображение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3000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6"/>
  </w:abstractNum>
  <w:abstractNum w:abstractNumId="11">
    <w:multiLevelType w:val="hybridMultilevel"/>
    <w:styleLink w:val="Imported Style 6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4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5.0"/>
  </w:abstractNum>
  <w:abstractNum w:abstractNumId="13">
    <w:multiLevelType w:val="hybridMultilevel"/>
    <w:styleLink w:val="Imported Style 5.0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6.0"/>
  </w:abstractNum>
  <w:abstractNum w:abstractNumId="15">
    <w:multiLevelType w:val="hybridMultilevel"/>
    <w:styleLink w:val="Imported Style 6.0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Title">
    <w:name w:val="Title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6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2"/>
      <w:szCs w:val="5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ubtitle">
    <w:name w:val="Subtitle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32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666666"/>
      <w:spacing w:val="0"/>
      <w:kern w:val="0"/>
      <w:position w:val="0"/>
      <w:sz w:val="30"/>
      <w:szCs w:val="30"/>
      <w:u w:val="none" w:color="666666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666666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b w:val="1"/>
      <w:bCs w:val="1"/>
      <w:caps w:val="0"/>
      <w:smallCaps w:val="0"/>
      <w:strike w:val="0"/>
      <w:dstrike w:val="0"/>
      <w:outline w:val="0"/>
      <w:color w:val="666666"/>
      <w:u w:val="none" w:color="666666"/>
      <w:shd w:val="clear" w:color="auto" w:fill="ffffff"/>
      <w:vertAlign w:val="baseline"/>
      <w:lang w:val="en-US"/>
      <w14:textFill>
        <w14:solidFill>
          <w14:srgbClr w14:val="666666"/>
        </w14:solidFill>
      </w14:textFill>
    </w:rPr>
  </w:style>
  <w:style w:type="paragraph" w:styleId="Heading">
    <w:name w:val="Heading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0" w:after="120" w:line="276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None"/>
    <w:next w:val="Hyperlink.1"/>
    <w:rPr>
      <w:outline w:val="0"/>
      <w:color w:val="1155cc"/>
      <w:u w:val="single" w:color="1155cc"/>
      <w:lang w:val="en-US"/>
      <w14:textFill>
        <w14:solidFill>
          <w14:srgbClr w14:val="1155CC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  <w:style w:type="numbering" w:styleId="Imported Style 6">
    <w:name w:val="Imported Style 6"/>
    <w:pPr>
      <w:numPr>
        <w:numId w:val="11"/>
      </w:numPr>
    </w:pPr>
  </w:style>
  <w:style w:type="numbering" w:styleId="Imported Style 5.0">
    <w:name w:val="Imported Style 5.0"/>
    <w:pPr>
      <w:numPr>
        <w:numId w:val="13"/>
      </w:numPr>
    </w:pPr>
  </w:style>
  <w:style w:type="numbering" w:styleId="Imported Style 6.0">
    <w:name w:val="Imported Style 6.0"/>
    <w:pPr>
      <w:numPr>
        <w:numId w:val="15"/>
      </w:numPr>
    </w:pPr>
  </w:style>
  <w:style w:type="character" w:styleId="Hyperlink.2">
    <w:name w:val="Hyperlink.2"/>
    <w:basedOn w:val="None"/>
    <w:next w:val="Hyperlink.2"/>
    <w:rPr>
      <w:outline w:val="0"/>
      <w:color w:val="1155cc"/>
      <w:u w:val="single" w:color="1155cc"/>
      <w14:textFill>
        <w14:solidFill>
          <w14:srgbClr w14:val="1155C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